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59" w:rsidRDefault="002C3259">
      <w:pPr>
        <w:jc w:val="center"/>
        <w:rPr>
          <w:rFonts w:ascii="Ecofont_Spranq_eco_Sans" w:hAnsi="Ecofont_Spranq_eco_Sans" w:cs="Arial"/>
          <w:b/>
          <w:bCs/>
          <w:sz w:val="20"/>
          <w:szCs w:val="20"/>
        </w:rPr>
      </w:pPr>
      <w:bookmarkStart w:id="0" w:name="_GoBack"/>
      <w:bookmarkEnd w:id="0"/>
    </w:p>
    <w:p w:rsidR="002C3259" w:rsidRDefault="008B55DC">
      <w:pPr>
        <w:jc w:val="center"/>
      </w:pPr>
      <w:r>
        <w:rPr>
          <w:noProof/>
        </w:rPr>
        <w:drawing>
          <wp:inline distT="0" distB="0" distL="0" distR="0">
            <wp:extent cx="734695" cy="78105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525" b="8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259" w:rsidRDefault="008B55DC">
      <w:pPr>
        <w:spacing w:before="63" w:line="264" w:lineRule="auto"/>
        <w:jc w:val="center"/>
      </w:pPr>
      <w:r>
        <w:rPr>
          <w:rFonts w:ascii="Times New Roman" w:hAnsi="Times New Roman" w:cs="Arial"/>
          <w:sz w:val="20"/>
          <w:szCs w:val="20"/>
        </w:rPr>
        <w:t>SERVIÇO PÚBLICO FEDERAL</w:t>
      </w:r>
    </w:p>
    <w:p w:rsidR="002C3259" w:rsidRDefault="008B55DC">
      <w:pPr>
        <w:spacing w:before="63" w:line="264" w:lineRule="auto"/>
        <w:jc w:val="center"/>
      </w:pPr>
      <w:r>
        <w:rPr>
          <w:rFonts w:ascii="Times New Roman" w:hAnsi="Times New Roman" w:cs="Arial"/>
          <w:sz w:val="20"/>
          <w:szCs w:val="20"/>
        </w:rPr>
        <w:t>UNIVERSIDADE FEDERAL DA FRONTEIRA SUL</w:t>
      </w:r>
    </w:p>
    <w:p w:rsidR="002C3259" w:rsidRDefault="008B55DC">
      <w:pPr>
        <w:spacing w:before="63" w:line="264" w:lineRule="auto"/>
        <w:jc w:val="center"/>
      </w:pPr>
      <w:r>
        <w:rPr>
          <w:rFonts w:ascii="Times New Roman" w:hAnsi="Times New Roman" w:cs="Arial"/>
          <w:sz w:val="20"/>
          <w:szCs w:val="20"/>
        </w:rPr>
        <w:t>PRÓ-REITORIA DE ADMINISTRAÇÃO E INFRAESTRUTURA</w:t>
      </w:r>
    </w:p>
    <w:p w:rsidR="002C3259" w:rsidRDefault="008B55DC">
      <w:pPr>
        <w:spacing w:before="6"/>
        <w:jc w:val="center"/>
      </w:pPr>
      <w:r>
        <w:rPr>
          <w:rFonts w:ascii="Times New Roman" w:hAnsi="Times New Roman" w:cs="Arial"/>
          <w:sz w:val="16"/>
          <w:szCs w:val="16"/>
        </w:rPr>
        <w:t>Avenida Fernando Machado, 108-E, Centro, Chapecó-SC, CEP 89802-112, 49 2049-3774</w:t>
      </w:r>
    </w:p>
    <w:p w:rsidR="002C3259" w:rsidRDefault="008B55DC">
      <w:pPr>
        <w:spacing w:before="63" w:after="57"/>
        <w:jc w:val="center"/>
      </w:pPr>
      <w:r>
        <w:rPr>
          <w:rFonts w:ascii="Times New Roman" w:hAnsi="Times New Roman" w:cs="Arial"/>
          <w:sz w:val="16"/>
          <w:szCs w:val="16"/>
        </w:rPr>
        <w:t>proad.suadm@uffs.edu.br, www.uffs.edu.br</w:t>
      </w:r>
    </w:p>
    <w:p w:rsidR="002C3259" w:rsidRDefault="002C3259">
      <w:pPr>
        <w:spacing w:before="177" w:after="57"/>
        <w:jc w:val="center"/>
        <w:rPr>
          <w:rFonts w:cs="Arial"/>
          <w:b/>
          <w:bCs/>
        </w:rPr>
      </w:pPr>
    </w:p>
    <w:p w:rsidR="002C3259" w:rsidRDefault="008B55DC">
      <w:pPr>
        <w:pStyle w:val="Cabealho1"/>
        <w:numPr>
          <w:ilvl w:val="0"/>
          <w:numId w:val="1"/>
        </w:numPr>
        <w:spacing w:before="0" w:after="0" w:line="360" w:lineRule="auto"/>
        <w:jc w:val="center"/>
      </w:pPr>
      <w:bookmarkStart w:id="1" w:name="_Toc393182734"/>
      <w:r>
        <w:rPr>
          <w:rFonts w:ascii="Times New Roman" w:hAnsi="Times New Roman" w:cs="Calibri"/>
          <w:b w:val="0"/>
          <w:bCs w:val="0"/>
          <w:sz w:val="22"/>
          <w:szCs w:val="22"/>
        </w:rPr>
        <w:t xml:space="preserve">ANEXO III-A: </w:t>
      </w:r>
      <w:bookmarkEnd w:id="1"/>
      <w:r>
        <w:rPr>
          <w:rFonts w:ascii="Times New Roman" w:hAnsi="Times New Roman" w:cs="Calibri"/>
          <w:b w:val="0"/>
          <w:bCs w:val="0"/>
          <w:sz w:val="22"/>
          <w:szCs w:val="22"/>
        </w:rPr>
        <w:t xml:space="preserve">MODELO DE SOLICITAÇÃO DE PRORROGAÇÃO </w:t>
      </w:r>
      <w:r>
        <w:rPr>
          <w:rFonts w:ascii="Times New Roman" w:hAnsi="Times New Roman" w:cs="Arial"/>
          <w:b w:val="0"/>
          <w:bCs w:val="0"/>
          <w:sz w:val="22"/>
          <w:szCs w:val="22"/>
        </w:rPr>
        <w:t>DO PRAZO DE VIGÊNCIA</w:t>
      </w:r>
    </w:p>
    <w:p w:rsidR="002C3259" w:rsidRDefault="008B55DC">
      <w:r>
        <w:rPr>
          <w:rFonts w:ascii="Times New Roman" w:hAnsi="Times New Roman" w:cs="Arial"/>
          <w:sz w:val="22"/>
          <w:szCs w:val="22"/>
        </w:rPr>
        <w:t>As alterações nos contratos cujo objeto seja a prestação de serviços continuados deverão observar os seguintes passos, na forma estatuída pela Lei nº 8.666/93 e de acordo com as peculiaridades do ob</w:t>
      </w:r>
      <w:r>
        <w:rPr>
          <w:rFonts w:ascii="Times New Roman" w:hAnsi="Times New Roman" w:cs="Arial"/>
          <w:sz w:val="22"/>
          <w:szCs w:val="22"/>
        </w:rPr>
        <w:t>jeto contratado:</w:t>
      </w:r>
    </w:p>
    <w:p w:rsidR="002C3259" w:rsidRDefault="002C3259">
      <w:pPr>
        <w:jc w:val="center"/>
        <w:rPr>
          <w:rFonts w:cs="Arial"/>
        </w:rPr>
      </w:pPr>
    </w:p>
    <w:tbl>
      <w:tblPr>
        <w:tblW w:w="9699" w:type="dxa"/>
        <w:jc w:val="right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64"/>
      </w:tblGrid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spacing w:before="20" w:after="20"/>
              <w:jc w:val="both"/>
            </w:pPr>
            <w:r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UNIDADE DEMANDANTE: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CONTRATO Nº</w:t>
            </w:r>
            <w:r>
              <w:rPr>
                <w:rFonts w:ascii="Times New Roman" w:eastAsia="Times New Roman" w:hAnsi="Times New Roman" w:cs="Arial"/>
                <w:sz w:val="22"/>
                <w:szCs w:val="22"/>
                <w:lang w:eastAsia="pt-BR"/>
              </w:rPr>
              <w:t>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VIGÊNCIA ATUAL DO CONTRATO: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Pr="008B55DC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  <w:rPr>
                <w:lang w:val="pt-BR"/>
              </w:rPr>
            </w:pPr>
            <w:r w:rsidRPr="008B55DC">
              <w:rPr>
                <w:rFonts w:ascii="Times New Roman" w:eastAsia="Times New Roman" w:hAnsi="Times New Roman" w:cs="Arial"/>
                <w:b/>
                <w:sz w:val="22"/>
                <w:szCs w:val="22"/>
                <w:lang w:val="pt-BR" w:eastAsia="pt-BR"/>
              </w:rPr>
              <w:t>PRAZO DE PRORROGAÇÃO:                                                     NOVA VIGÊNCIA: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CONTRATADO: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OBJETO DO CONTRATO:</w:t>
            </w:r>
          </w:p>
        </w:tc>
      </w:tr>
      <w:tr w:rsidR="002C3259">
        <w:trPr>
          <w:trHeight w:val="345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4BC96"/>
            <w:tcMar>
              <w:left w:w="-22" w:type="dxa"/>
            </w:tcMar>
          </w:tcPr>
          <w:p w:rsidR="002C3259" w:rsidRDefault="008B55DC">
            <w:pPr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 xml:space="preserve">TERMO ADITIVO VISANDO A PRORROGAÇÃO DO PRAZO DE </w:t>
            </w:r>
            <w:r>
              <w:rPr>
                <w:rFonts w:ascii="Times New Roman" w:hAnsi="Times New Roman" w:cs="Arial"/>
                <w:b/>
                <w:sz w:val="22"/>
                <w:szCs w:val="22"/>
              </w:rPr>
              <w:t>VIGÊNCIA</w:t>
            </w:r>
          </w:p>
        </w:tc>
      </w:tr>
      <w:tr w:rsidR="002C3259">
        <w:trPr>
          <w:trHeight w:val="734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1. Manifestação da Administração acerca da execução do contrato, justificativa da necessidade da prorrogação e sobre a manutenção das condições vantajosas do ajuste. (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art.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57, § 2º, da Lei 8.666/93).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_____________________________________________________________________________________________.</w:t>
            </w:r>
          </w:p>
          <w:p w:rsidR="002C3259" w:rsidRDefault="002C3259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734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2. Relatório que discorra sobre a execução do contrato, com informações de que os serviços tenham sido prestados regularmente (Anexo IX, item 3, alínea b, da I</w:t>
            </w:r>
            <w:r>
              <w:rPr>
                <w:rFonts w:ascii="Times New Roman" w:hAnsi="Times New Roman" w:cs="Arial"/>
                <w:sz w:val="22"/>
                <w:szCs w:val="22"/>
              </w:rPr>
              <w:t>N nº 05/2017).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____________________________________________________________________________________________________________.</w:t>
            </w:r>
          </w:p>
          <w:p w:rsidR="002C3259" w:rsidRDefault="002C3259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1363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Arial"/>
                <w:sz w:val="22"/>
                <w:szCs w:val="22"/>
              </w:rPr>
              <w:t xml:space="preserve">Comprovação de que o valor do contrato permanece economicamente vantajoso para a Administração, com análise entre os preços contratados e </w:t>
            </w:r>
            <w:r>
              <w:rPr>
                <w:rFonts w:ascii="Times New Roman" w:hAnsi="Times New Roman" w:cs="Arial"/>
                <w:sz w:val="22"/>
                <w:szCs w:val="22"/>
              </w:rPr>
              <w:t>aqueles praticados no mercado de modo a concluir que a continuidade da contratação é mais vantajosa que a realização de uma nova licitação, sem prejuízo de eventual negociação com a contratada para adequação dos valores àqueles encontrados na pesquisa de m</w:t>
            </w:r>
            <w:r>
              <w:rPr>
                <w:rFonts w:ascii="Times New Roman" w:hAnsi="Times New Roman" w:cs="Arial"/>
                <w:sz w:val="22"/>
                <w:szCs w:val="22"/>
              </w:rPr>
              <w:t>ercado (art. 57, II, Lei 8.666/93 e Anexo IX, item 3, alínea d e item 4 da IN nº 05/2017).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4. Manifestação da Gestão e Fiscalização do Contrato acerca da realiz</w:t>
            </w:r>
            <w:r>
              <w:rPr>
                <w:rFonts w:ascii="Times New Roman" w:hAnsi="Times New Roman" w:cs="Arial"/>
                <w:sz w:val="22"/>
                <w:szCs w:val="22"/>
              </w:rPr>
              <w:t>ação de um estudo visando identificar os custos fixos ou variáveis não renováveis que já tenham sido amortizados ou pagos no primeiro ano das contratações, para então realizar negociação para a sua redução/eliminação, em observância ao disposto no Anexo IX</w:t>
            </w:r>
            <w:r>
              <w:rPr>
                <w:rFonts w:ascii="Times New Roman" w:hAnsi="Times New Roman" w:cs="Arial"/>
                <w:sz w:val="22"/>
                <w:szCs w:val="22"/>
              </w:rPr>
              <w:t>, item 9 da IN 05/2017- MP.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_________________________________________________________________________________________________________________________.</w:t>
            </w:r>
          </w:p>
          <w:p w:rsidR="002C3259" w:rsidRDefault="002C3259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734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5. Existe manifestação do contratado demonstrando interesse na prorrogação do prazo de vigência do contrato? </w:t>
            </w:r>
            <w:r>
              <w:rPr>
                <w:rFonts w:ascii="Times New Roman" w:hAnsi="Times New Roman" w:cs="Arial"/>
                <w:sz w:val="22"/>
                <w:szCs w:val="22"/>
              </w:rPr>
              <w:t>(Anexo IX, item 3, alí</w:t>
            </w:r>
            <w:r>
              <w:rPr>
                <w:rFonts w:ascii="Times New Roman" w:hAnsi="Times New Roman" w:cs="Arial"/>
                <w:sz w:val="22"/>
                <w:szCs w:val="22"/>
              </w:rPr>
              <w:t>nea e, da IN nº 05/2017)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As manifestações estão em anexo. 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Não existe manifestação. Justificativa: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_____.</w:t>
            </w:r>
          </w:p>
          <w:p w:rsidR="002C3259" w:rsidRDefault="002C3259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734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lastRenderedPageBreak/>
              <w:t>6. Mapa de riscos (art. 26, §1º, IV, da IN nº 05/2017).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O mapa de riscos está em anexo.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Não existe mapa de riscos. Justificativa: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_____________________________________________________________________________________________________________________________________________________________________.</w:t>
            </w:r>
          </w:p>
          <w:p w:rsidR="002C3259" w:rsidRDefault="002C3259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Pr="008B55DC" w:rsidRDefault="008B55DC">
      <w:pPr>
        <w:pStyle w:val="LO-Normal"/>
        <w:spacing w:before="240"/>
        <w:jc w:val="both"/>
        <w:rPr>
          <w:lang w:val="pt-BR"/>
        </w:rPr>
      </w:pPr>
      <w:r w:rsidRPr="008B55DC">
        <w:rPr>
          <w:rFonts w:ascii="Times New Roman" w:hAnsi="Times New Roman" w:cs="MyriadPro-Cond"/>
          <w:color w:val="FF0000"/>
          <w:sz w:val="22"/>
          <w:szCs w:val="22"/>
          <w:lang w:val="pt-BR"/>
        </w:rPr>
        <w:t>É necessário anexar os documentos que comprovem as declarações constantes no formulári</w:t>
      </w:r>
      <w:r w:rsidRPr="008B55DC">
        <w:rPr>
          <w:rFonts w:ascii="Times New Roman" w:hAnsi="Times New Roman" w:cs="MyriadPro-Cond"/>
          <w:color w:val="FF0000"/>
          <w:sz w:val="22"/>
          <w:szCs w:val="22"/>
          <w:lang w:val="pt-BR"/>
        </w:rPr>
        <w:t>o.</w:t>
      </w:r>
    </w:p>
    <w:p w:rsidR="002C3259" w:rsidRPr="008B55DC" w:rsidRDefault="008B55DC">
      <w:pPr>
        <w:pStyle w:val="LO-Normal"/>
        <w:spacing w:before="240"/>
        <w:jc w:val="both"/>
        <w:rPr>
          <w:lang w:val="pt-BR"/>
        </w:rPr>
      </w:pPr>
      <w:r w:rsidRPr="008B55DC">
        <w:rPr>
          <w:rFonts w:ascii="Times New Roman" w:hAnsi="Times New Roman" w:cs="MyriadPro-Cond"/>
          <w:color w:val="FF0000"/>
          <w:sz w:val="22"/>
          <w:szCs w:val="22"/>
          <w:lang w:val="pt-BR"/>
        </w:rPr>
        <w:t xml:space="preserve"> </w:t>
      </w:r>
    </w:p>
    <w:tbl>
      <w:tblPr>
        <w:tblW w:w="9322" w:type="dxa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6365"/>
        <w:gridCol w:w="2957"/>
      </w:tblGrid>
      <w:tr w:rsidR="002C3259"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NOME DO GESTOR: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SIAPE: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sz w:val="22"/>
                <w:szCs w:val="22"/>
                <w:lang w:eastAsia="pt-BR"/>
              </w:rPr>
            </w:pPr>
          </w:p>
        </w:tc>
      </w:tr>
      <w:tr w:rsidR="002C3259"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ASSINATURA: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DATA: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</w:p>
        </w:tc>
      </w:tr>
      <w:tr w:rsidR="002C3259">
        <w:trPr>
          <w:trHeight w:val="493"/>
        </w:trPr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NOME DO FISCAL: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SIAPE:</w:t>
            </w:r>
          </w:p>
        </w:tc>
      </w:tr>
      <w:tr w:rsidR="002C3259">
        <w:trPr>
          <w:trHeight w:val="518"/>
        </w:trPr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ASSINATURA: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DATA:</w:t>
            </w:r>
          </w:p>
        </w:tc>
      </w:tr>
    </w:tbl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Default="008B55DC">
      <w:pPr>
        <w:jc w:val="center"/>
      </w:pPr>
      <w:r>
        <w:rPr>
          <w:noProof/>
        </w:rPr>
        <w:drawing>
          <wp:inline distT="0" distB="0" distL="0" distR="0">
            <wp:extent cx="734695" cy="781050"/>
            <wp:effectExtent l="0" t="0" r="0" b="0"/>
            <wp:docPr id="2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525" b="8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259" w:rsidRDefault="008B55DC">
      <w:pPr>
        <w:spacing w:before="63" w:line="264" w:lineRule="auto"/>
        <w:jc w:val="center"/>
      </w:pPr>
      <w:r>
        <w:rPr>
          <w:rFonts w:ascii="Times New Roman" w:hAnsi="Times New Roman" w:cs="Arial"/>
          <w:sz w:val="20"/>
          <w:szCs w:val="20"/>
        </w:rPr>
        <w:t>SERVIÇO PÚBLICO FEDERAL</w:t>
      </w:r>
    </w:p>
    <w:p w:rsidR="002C3259" w:rsidRDefault="008B55DC">
      <w:pPr>
        <w:spacing w:before="63" w:line="264" w:lineRule="auto"/>
        <w:jc w:val="center"/>
      </w:pPr>
      <w:r>
        <w:rPr>
          <w:rFonts w:ascii="Times New Roman" w:hAnsi="Times New Roman" w:cs="Arial"/>
          <w:sz w:val="20"/>
          <w:szCs w:val="20"/>
        </w:rPr>
        <w:t>UNIVERSIDADE FEDERAL DA FRONTEIRA SUL</w:t>
      </w:r>
    </w:p>
    <w:p w:rsidR="002C3259" w:rsidRDefault="008B55DC">
      <w:pPr>
        <w:spacing w:before="63" w:line="264" w:lineRule="auto"/>
        <w:jc w:val="center"/>
      </w:pPr>
      <w:r>
        <w:rPr>
          <w:rFonts w:ascii="Times New Roman" w:hAnsi="Times New Roman" w:cs="Arial"/>
          <w:sz w:val="20"/>
          <w:szCs w:val="20"/>
        </w:rPr>
        <w:t>PRÓ-REITORIA DE ADMINISTRAÇÃO E INFRAESTRUTURA</w:t>
      </w:r>
    </w:p>
    <w:p w:rsidR="002C3259" w:rsidRDefault="008B55DC">
      <w:pPr>
        <w:spacing w:before="6"/>
        <w:jc w:val="center"/>
      </w:pPr>
      <w:r>
        <w:rPr>
          <w:rFonts w:ascii="Times New Roman" w:hAnsi="Times New Roman" w:cs="Arial"/>
          <w:sz w:val="16"/>
          <w:szCs w:val="16"/>
        </w:rPr>
        <w:t>Avenida Fernando Machado, 108-E, Centro,</w:t>
      </w:r>
      <w:r>
        <w:rPr>
          <w:rFonts w:ascii="Times New Roman" w:hAnsi="Times New Roman" w:cs="Arial"/>
          <w:sz w:val="16"/>
          <w:szCs w:val="16"/>
        </w:rPr>
        <w:t xml:space="preserve"> Chapecó-SC, CEP 89802-112, 49 2049-3774</w:t>
      </w:r>
    </w:p>
    <w:p w:rsidR="002C3259" w:rsidRDefault="008B55DC">
      <w:pPr>
        <w:spacing w:before="63" w:after="57"/>
        <w:jc w:val="center"/>
      </w:pPr>
      <w:r>
        <w:rPr>
          <w:rFonts w:ascii="Times New Roman" w:hAnsi="Times New Roman" w:cs="Arial"/>
          <w:sz w:val="16"/>
          <w:szCs w:val="16"/>
        </w:rPr>
        <w:t>proad.suadm@uffs.edu.br, www.uffs.edu.br</w:t>
      </w:r>
    </w:p>
    <w:p w:rsidR="002C3259" w:rsidRDefault="002C3259">
      <w:pPr>
        <w:pStyle w:val="Cabealho1"/>
        <w:numPr>
          <w:ilvl w:val="0"/>
          <w:numId w:val="1"/>
        </w:numPr>
        <w:spacing w:before="57" w:after="57" w:line="360" w:lineRule="auto"/>
        <w:jc w:val="center"/>
        <w:rPr>
          <w:rFonts w:ascii="Times New Roman" w:hAnsi="Times New Roman" w:cs="Calibri"/>
          <w:sz w:val="22"/>
          <w:szCs w:val="22"/>
        </w:rPr>
      </w:pPr>
    </w:p>
    <w:p w:rsidR="002C3259" w:rsidRDefault="008B55DC">
      <w:pPr>
        <w:pStyle w:val="Cabealho1"/>
        <w:numPr>
          <w:ilvl w:val="0"/>
          <w:numId w:val="1"/>
        </w:numPr>
        <w:spacing w:before="0" w:after="0" w:line="360" w:lineRule="auto"/>
        <w:jc w:val="center"/>
      </w:pPr>
      <w:bookmarkStart w:id="2" w:name="_Toc3931827341"/>
      <w:r>
        <w:rPr>
          <w:rFonts w:ascii="Times New Roman" w:hAnsi="Times New Roman" w:cs="Calibri"/>
          <w:b w:val="0"/>
          <w:bCs w:val="0"/>
          <w:sz w:val="22"/>
          <w:szCs w:val="22"/>
        </w:rPr>
        <w:t xml:space="preserve">ANEXO III-B: </w:t>
      </w:r>
      <w:bookmarkEnd w:id="2"/>
      <w:r>
        <w:rPr>
          <w:rFonts w:ascii="Times New Roman" w:hAnsi="Times New Roman" w:cs="Calibri"/>
          <w:b w:val="0"/>
          <w:bCs w:val="0"/>
          <w:sz w:val="22"/>
          <w:szCs w:val="22"/>
        </w:rPr>
        <w:t xml:space="preserve">MODELO DE SOLICITAÇÃO DE </w:t>
      </w:r>
      <w:r>
        <w:rPr>
          <w:rFonts w:ascii="Times New Roman" w:hAnsi="Times New Roman" w:cs="Arial"/>
          <w:b w:val="0"/>
          <w:bCs w:val="0"/>
          <w:sz w:val="22"/>
          <w:szCs w:val="22"/>
        </w:rPr>
        <w:t>ACRÉSCIMOS OU SUPRESSÕES DO OBJETO</w:t>
      </w:r>
    </w:p>
    <w:p w:rsidR="002C3259" w:rsidRDefault="008B55DC">
      <w:r>
        <w:rPr>
          <w:rFonts w:ascii="Times New Roman" w:hAnsi="Times New Roman" w:cs="Arial"/>
          <w:sz w:val="22"/>
          <w:szCs w:val="22"/>
        </w:rPr>
        <w:t>As alterações nos contratos cujo objeto seja a prestação de serviços continuados deverão observar os</w:t>
      </w:r>
      <w:r>
        <w:rPr>
          <w:rFonts w:ascii="Times New Roman" w:hAnsi="Times New Roman" w:cs="Arial"/>
          <w:sz w:val="22"/>
          <w:szCs w:val="22"/>
        </w:rPr>
        <w:t xml:space="preserve"> seguintes passos, na forma estatuída pela Lei nº 8.666/93 e de acordo com as peculiaridades do objeto contratado:</w:t>
      </w: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tbl>
      <w:tblPr>
        <w:tblW w:w="9699" w:type="dxa"/>
        <w:jc w:val="right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64"/>
      </w:tblGrid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spacing w:before="20" w:after="20"/>
              <w:jc w:val="both"/>
            </w:pPr>
            <w:r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UNIDADE DEMANDANTE: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lastRenderedPageBreak/>
              <w:t>CONTRATO Nº</w:t>
            </w:r>
            <w:r>
              <w:rPr>
                <w:rFonts w:ascii="Times New Roman" w:eastAsia="Times New Roman" w:hAnsi="Times New Roman" w:cs="Arial"/>
                <w:sz w:val="22"/>
                <w:szCs w:val="22"/>
                <w:lang w:eastAsia="pt-BR"/>
              </w:rPr>
              <w:t>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VIGÊNCIA ATUAL DO CONTRATO: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Pr="008B55DC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  <w:rPr>
                <w:lang w:val="pt-BR"/>
              </w:rPr>
            </w:pPr>
            <w:r w:rsidRPr="008B55DC">
              <w:rPr>
                <w:rFonts w:ascii="Times New Roman" w:eastAsia="Times New Roman" w:hAnsi="Times New Roman" w:cs="Arial"/>
                <w:b/>
                <w:sz w:val="22"/>
                <w:szCs w:val="22"/>
                <w:lang w:val="pt-BR" w:eastAsia="pt-BR"/>
              </w:rPr>
              <w:t xml:space="preserve">PRAZO DE PRORROGAÇÃO:                                                     </w:t>
            </w:r>
            <w:r w:rsidRPr="008B55DC">
              <w:rPr>
                <w:rFonts w:ascii="Times New Roman" w:eastAsia="Times New Roman" w:hAnsi="Times New Roman" w:cs="Arial"/>
                <w:b/>
                <w:sz w:val="22"/>
                <w:szCs w:val="22"/>
                <w:lang w:val="pt-BR" w:eastAsia="pt-BR"/>
              </w:rPr>
              <w:t>NOVA VIGÊNCIA: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CONTRATADO: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spacing w:before="120"/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OBJETO DO CONTRATO:</w:t>
            </w:r>
          </w:p>
        </w:tc>
      </w:tr>
      <w:tr w:rsidR="002C3259">
        <w:trPr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4BC96"/>
            <w:tcMar>
              <w:left w:w="-22" w:type="dxa"/>
            </w:tcMar>
          </w:tcPr>
          <w:p w:rsidR="002C3259" w:rsidRDefault="008B55DC">
            <w:pPr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</w:rPr>
              <w:t>TERMO ADITIVO VISANDO ACRÉSCIMOS OU SUPRESSÕES DO OBJETO</w:t>
            </w:r>
          </w:p>
        </w:tc>
      </w:tr>
      <w:tr w:rsidR="002C3259">
        <w:trPr>
          <w:trHeight w:val="3680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spacing w:before="34" w:after="28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1. Justificativa da Administração para demonstrar a superveniência do fato ensejador da alteração contratual. </w:t>
            </w:r>
          </w:p>
          <w:p w:rsidR="002C3259" w:rsidRDefault="008B55DC">
            <w:pPr>
              <w:spacing w:before="34" w:after="28" w:line="270" w:lineRule="atLeast"/>
              <w:ind w:left="580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[...] 9.3.10.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observe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o princípio de </w:t>
            </w:r>
            <w:r>
              <w:rPr>
                <w:rFonts w:ascii="Times New Roman" w:hAnsi="Times New Roman" w:cs="Arial"/>
                <w:sz w:val="22"/>
                <w:szCs w:val="22"/>
              </w:rPr>
              <w:t xml:space="preserve">que a execução de itens do objeto do contrato em quantidade superior à prevista no orçamento da licitação deve ser previamente autorizada por meio de termo aditivo contratual, o qual deverá atender aos requisitos a seguir: 9.3.10.1.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ser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antecedido de proce</w:t>
            </w:r>
            <w:r>
              <w:rPr>
                <w:rFonts w:ascii="Times New Roman" w:hAnsi="Times New Roman" w:cs="Arial"/>
                <w:sz w:val="22"/>
                <w:szCs w:val="22"/>
              </w:rPr>
              <w:t>dimento administrativo no qual fique adequadamente consignada a motivação das alterações tidas por necessárias, que devem ser embasadas em pareceres e estudos técnicos pertinentes, bem assim caracterizar a natureza superveniente, em relação ao momento da l</w:t>
            </w:r>
            <w:r>
              <w:rPr>
                <w:rFonts w:ascii="Times New Roman" w:hAnsi="Times New Roman" w:cs="Arial"/>
                <w:sz w:val="22"/>
                <w:szCs w:val="22"/>
              </w:rPr>
              <w:t>icitação, dos fatos ensejadores das alterações. (TCU, Acórdão 554/2005 – Plenário)</w:t>
            </w:r>
          </w:p>
          <w:p w:rsidR="002C3259" w:rsidRDefault="008B55DC">
            <w:pPr>
              <w:spacing w:before="0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_______________________________________________________________________________________________________________________________________________________________________________.</w:t>
            </w:r>
          </w:p>
          <w:p w:rsidR="002C3259" w:rsidRDefault="002C3259">
            <w:pPr>
              <w:spacing w:before="34" w:after="28" w:line="270" w:lineRule="atLeast"/>
              <w:ind w:left="580"/>
              <w:textAlignment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795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2. Justificativa da Administração que assegure a pertinência entre os </w:t>
            </w:r>
            <w:r>
              <w:rPr>
                <w:rFonts w:ascii="Times New Roman" w:hAnsi="Times New Roman" w:cs="Arial"/>
                <w:sz w:val="22"/>
                <w:szCs w:val="22"/>
              </w:rPr>
              <w:t>serviços originalmente contratados e a dos aditados (acréscimos).</w:t>
            </w:r>
          </w:p>
          <w:p w:rsidR="002C3259" w:rsidRDefault="008B55DC">
            <w:pPr>
              <w:spacing w:before="0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______________________________________________________________________________________________________________________________________________________________.</w:t>
            </w:r>
          </w:p>
          <w:p w:rsidR="002C3259" w:rsidRDefault="002C3259">
            <w:pPr>
              <w:spacing w:before="34" w:after="28" w:line="270" w:lineRule="atLeast"/>
              <w:textAlignment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715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3. Justificativa da Administração para demonstrar a inexistência de </w:t>
            </w:r>
            <w:proofErr w:type="spellStart"/>
            <w:r>
              <w:rPr>
                <w:rFonts w:ascii="Times New Roman" w:hAnsi="Times New Roman" w:cs="Arial"/>
                <w:sz w:val="22"/>
                <w:szCs w:val="22"/>
              </w:rPr>
              <w:t>sobrepreço</w:t>
            </w:r>
            <w:proofErr w:type="spellEnd"/>
            <w:r>
              <w:rPr>
                <w:rFonts w:ascii="Times New Roman" w:hAnsi="Times New Roman" w:cs="Arial"/>
                <w:sz w:val="22"/>
                <w:szCs w:val="22"/>
              </w:rPr>
              <w:t xml:space="preserve"> no objeto </w:t>
            </w:r>
            <w:r>
              <w:rPr>
                <w:rFonts w:ascii="Times New Roman" w:hAnsi="Times New Roman" w:cs="Arial"/>
                <w:sz w:val="22"/>
                <w:szCs w:val="22"/>
              </w:rPr>
              <w:t>acrescido.</w:t>
            </w:r>
          </w:p>
          <w:p w:rsidR="002C3259" w:rsidRDefault="008B55DC">
            <w:pPr>
              <w:spacing w:before="0"/>
            </w:pP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________________________________________________________________________________________________________.</w:t>
            </w:r>
          </w:p>
        </w:tc>
      </w:tr>
      <w:tr w:rsidR="002C3259">
        <w:trPr>
          <w:trHeight w:val="715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4. Justificativa da Administração sobre a observação do limite quantitativo e/ou qualitativo previsto no art. 65, § 1º, da Lei nº 8.666/93.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>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___________________________________________________________________________________.</w:t>
            </w:r>
          </w:p>
          <w:p w:rsidR="002C3259" w:rsidRDefault="002C3259">
            <w:pPr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2C3259">
        <w:trPr>
          <w:trHeight w:val="1368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spacing w:before="34" w:after="28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5. Nos contratos de prestação de serviço ou execução de obra, há projeto básico atinente ao acréscimo pretendido? </w:t>
            </w:r>
          </w:p>
          <w:p w:rsidR="002C3259" w:rsidRDefault="008B55DC">
            <w:pPr>
              <w:spacing w:before="34" w:after="28" w:line="270" w:lineRule="atLeast"/>
              <w:ind w:left="58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[...] 9.1.13.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elaborar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projeto básico previamente à </w:t>
            </w:r>
            <w:r>
              <w:rPr>
                <w:rFonts w:ascii="Times New Roman" w:hAnsi="Times New Roman" w:cs="Arial"/>
                <w:sz w:val="22"/>
                <w:szCs w:val="22"/>
              </w:rPr>
              <w:t>realização de aditamentos contratuais, em especial, quando implicar acréscimos quantitativos do objeto, nos termos do art. 7º, § 2º,  da Lei n 8.666/93 c/c art. 65, I, b, do mesmo diploma legal. (TCU – Acórdão 740/2004 – Plenário)</w:t>
            </w:r>
          </w:p>
          <w:p w:rsidR="002C3259" w:rsidRDefault="008B55DC">
            <w:pPr>
              <w:spacing w:before="34" w:after="28" w:line="270" w:lineRule="atLeast"/>
              <w:ind w:left="580"/>
              <w:textAlignment w:val="center"/>
            </w:pP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O projeto básico est</w:t>
            </w:r>
            <w:r>
              <w:rPr>
                <w:rFonts w:ascii="Times New Roman" w:hAnsi="Times New Roman" w:cs="Arial"/>
                <w:sz w:val="22"/>
                <w:szCs w:val="22"/>
              </w:rPr>
              <w:t>á em anexo.</w:t>
            </w:r>
          </w:p>
          <w:p w:rsidR="002C3259" w:rsidRDefault="008B55DC">
            <w:pPr>
              <w:spacing w:before="91" w:after="85" w:line="270" w:lineRule="atLeast"/>
              <w:ind w:left="580"/>
              <w:textAlignment w:val="center"/>
            </w:pP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Não existe projeto básico. Justificativa:</w:t>
            </w:r>
          </w:p>
          <w:p w:rsidR="002C3259" w:rsidRDefault="008B55DC">
            <w:pPr>
              <w:spacing w:before="91" w:after="85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_______________________________________________.</w:t>
            </w:r>
          </w:p>
        </w:tc>
      </w:tr>
      <w:tr w:rsidR="002C3259">
        <w:trPr>
          <w:trHeight w:val="658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pPr>
              <w:spacing w:before="34" w:after="28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 xml:space="preserve">6. Sendo o objeto do contrato a prestação de serviço ou a execução de obra, há orçamento detalhado em planilhas que expresse a composição de todos os custos unitários da alteração (acréscimo), conforme </w:t>
            </w:r>
            <w:r>
              <w:rPr>
                <w:rFonts w:ascii="Times New Roman" w:hAnsi="Times New Roman" w:cs="Arial"/>
                <w:sz w:val="22"/>
                <w:szCs w:val="22"/>
              </w:rPr>
              <w:t>disposto no art. 7º, § 1º, II, da Lei n 8.666/93?</w:t>
            </w:r>
          </w:p>
          <w:p w:rsidR="002C3259" w:rsidRDefault="008B55DC">
            <w:pPr>
              <w:spacing w:before="34" w:after="28" w:line="270" w:lineRule="atLeast"/>
              <w:ind w:left="580"/>
              <w:textAlignment w:val="center"/>
            </w:pP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O orçamento detalhado em planilhas está em anexo. </w:t>
            </w:r>
          </w:p>
          <w:p w:rsidR="002C3259" w:rsidRDefault="008B55DC">
            <w:pPr>
              <w:spacing w:before="57" w:after="57" w:line="270" w:lineRule="atLeast"/>
              <w:ind w:left="580"/>
              <w:textAlignment w:val="center"/>
            </w:pP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Não existe orçamento detalhado. Justificativa:</w:t>
            </w:r>
          </w:p>
          <w:p w:rsidR="002C3259" w:rsidRDefault="008B55DC">
            <w:pPr>
              <w:spacing w:before="57" w:after="57" w:line="270" w:lineRule="atLeast"/>
              <w:textAlignment w:val="center"/>
            </w:pP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</w:t>
            </w:r>
            <w:r>
              <w:rPr>
                <w:rFonts w:ascii="Times New Roman" w:hAnsi="Times New Roman" w:cs="Arial"/>
                <w:sz w:val="22"/>
                <w:szCs w:val="22"/>
              </w:rPr>
              <w:t>__________________________________________________________________________________________________________________________________________________.</w:t>
            </w:r>
          </w:p>
        </w:tc>
      </w:tr>
      <w:tr w:rsidR="002C3259">
        <w:trPr>
          <w:trHeight w:val="1002"/>
          <w:jc w:val="right"/>
        </w:trPr>
        <w:tc>
          <w:tcPr>
            <w:tcW w:w="9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7. Existem pareceres e estudos técnicos elaborados por profissionais habilitados, de modo a configurar a </w:t>
            </w:r>
            <w:r>
              <w:rPr>
                <w:rFonts w:ascii="Times New Roman" w:hAnsi="Times New Roman" w:cs="Arial"/>
                <w:sz w:val="22"/>
                <w:szCs w:val="22"/>
              </w:rPr>
              <w:t>superveniência, em relação à instauração da licitação ou à instrução do processo de contratação direta, dos fatos determinantes das alterações, se for o caso?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</w:t>
            </w: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(  )</w:t>
            </w:r>
            <w:proofErr w:type="gramEnd"/>
            <w:r>
              <w:rPr>
                <w:rFonts w:ascii="Times New Roman" w:hAnsi="Times New Roman" w:cs="Arial"/>
                <w:sz w:val="22"/>
                <w:szCs w:val="22"/>
              </w:rPr>
              <w:t xml:space="preserve"> Os pareceres e estudos técnicos elaborados por profissionais habilitados encontram</w:t>
            </w:r>
            <w:r>
              <w:rPr>
                <w:rFonts w:ascii="Times New Roman" w:hAnsi="Times New Roman" w:cs="Arial"/>
                <w:sz w:val="22"/>
                <w:szCs w:val="22"/>
              </w:rPr>
              <w:t>-se em anexo.</w:t>
            </w:r>
          </w:p>
          <w:p w:rsidR="002C3259" w:rsidRDefault="008B55DC">
            <w:r>
              <w:rPr>
                <w:rFonts w:ascii="Times New Roman" w:hAnsi="Times New Roman" w:cs="Arial"/>
                <w:sz w:val="22"/>
                <w:szCs w:val="22"/>
              </w:rPr>
              <w:t xml:space="preserve">          (  ) Não existe parecer ou estudo técnico.</w:t>
            </w:r>
          </w:p>
        </w:tc>
      </w:tr>
    </w:tbl>
    <w:p w:rsidR="002C3259" w:rsidRDefault="002C3259">
      <w:pPr>
        <w:rPr>
          <w:rFonts w:ascii="Times New Roman" w:hAnsi="Times New Roman"/>
          <w:sz w:val="22"/>
          <w:szCs w:val="22"/>
        </w:rPr>
      </w:pPr>
    </w:p>
    <w:p w:rsidR="002C3259" w:rsidRPr="008B55DC" w:rsidRDefault="008B55DC">
      <w:pPr>
        <w:pStyle w:val="LO-Normal"/>
        <w:spacing w:before="240"/>
        <w:jc w:val="both"/>
        <w:rPr>
          <w:lang w:val="pt-BR"/>
        </w:rPr>
      </w:pPr>
      <w:r w:rsidRPr="008B55DC">
        <w:rPr>
          <w:rFonts w:ascii="Times New Roman" w:hAnsi="Times New Roman" w:cs="MyriadPro-Cond"/>
          <w:color w:val="FF0000"/>
          <w:sz w:val="22"/>
          <w:szCs w:val="22"/>
          <w:lang w:val="pt-BR"/>
        </w:rPr>
        <w:t xml:space="preserve">É necessário anexar os documentos que comprovem as declarações constantes no formulário. </w:t>
      </w:r>
    </w:p>
    <w:p w:rsidR="002C3259" w:rsidRDefault="002C3259">
      <w:pPr>
        <w:rPr>
          <w:rFonts w:ascii="Times New Roman" w:hAnsi="Times New Roman"/>
          <w:sz w:val="22"/>
          <w:szCs w:val="22"/>
        </w:rPr>
      </w:pPr>
    </w:p>
    <w:tbl>
      <w:tblPr>
        <w:tblW w:w="9322" w:type="dxa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6365"/>
        <w:gridCol w:w="2957"/>
      </w:tblGrid>
      <w:tr w:rsidR="002C3259"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NOME DO FISCAL: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SIAPE: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sz w:val="22"/>
                <w:szCs w:val="22"/>
                <w:lang w:eastAsia="pt-BR"/>
              </w:rPr>
            </w:pPr>
          </w:p>
        </w:tc>
      </w:tr>
      <w:tr w:rsidR="002C3259"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bookmarkStart w:id="3" w:name="__DdeLink__189_925432871"/>
            <w:bookmarkEnd w:id="3"/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ASSINATURA: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  <w:bookmarkStart w:id="4" w:name="__DdeLink__377_4204293840"/>
            <w:bookmarkEnd w:id="4"/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DATA:</w:t>
            </w:r>
          </w:p>
          <w:p w:rsidR="002C3259" w:rsidRDefault="002C3259">
            <w:pPr>
              <w:pStyle w:val="LO-Normal"/>
              <w:widowControl/>
              <w:tabs>
                <w:tab w:val="left" w:pos="3261"/>
              </w:tabs>
              <w:jc w:val="both"/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</w:pPr>
          </w:p>
        </w:tc>
      </w:tr>
      <w:tr w:rsidR="002C3259">
        <w:trPr>
          <w:trHeight w:val="493"/>
        </w:trPr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NOME DO GESTOR: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SIAPE:</w:t>
            </w:r>
          </w:p>
        </w:tc>
      </w:tr>
      <w:tr w:rsidR="002C3259">
        <w:trPr>
          <w:trHeight w:val="513"/>
        </w:trPr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ASSINATURA: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2C3259" w:rsidRDefault="008B55DC">
            <w:pPr>
              <w:pStyle w:val="LO-Normal"/>
              <w:widowControl/>
              <w:tabs>
                <w:tab w:val="left" w:pos="3261"/>
              </w:tabs>
              <w:jc w:val="both"/>
            </w:pPr>
            <w:r>
              <w:rPr>
                <w:rFonts w:ascii="Times New Roman" w:eastAsia="Times New Roman" w:hAnsi="Times New Roman" w:cs="Arial"/>
                <w:b/>
                <w:sz w:val="22"/>
                <w:szCs w:val="22"/>
                <w:lang w:eastAsia="pt-BR"/>
              </w:rPr>
              <w:t>DATA:</w:t>
            </w:r>
          </w:p>
        </w:tc>
      </w:tr>
    </w:tbl>
    <w:p w:rsidR="002C3259" w:rsidRDefault="002C3259"/>
    <w:sectPr w:rsidR="002C3259">
      <w:pgSz w:w="11906" w:h="16838"/>
      <w:pgMar w:top="720" w:right="720" w:bottom="720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yriadPro-Con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34D74"/>
    <w:multiLevelType w:val="multilevel"/>
    <w:tmpl w:val="4B7893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26429F"/>
    <w:multiLevelType w:val="multilevel"/>
    <w:tmpl w:val="2CF4F7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59"/>
    <w:rsid w:val="002C3259"/>
    <w:rsid w:val="008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5ACB9-895A-4C85-AFAB-164B342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BF6"/>
    <w:pPr>
      <w:spacing w:before="120"/>
      <w:jc w:val="both"/>
    </w:pPr>
    <w:rPr>
      <w:rFonts w:ascii="Arial" w:eastAsia="Times New Roman" w:hAnsi="Arial"/>
      <w:color w:val="00000A"/>
      <w:sz w:val="24"/>
      <w:szCs w:val="24"/>
      <w:lang w:val="pt-BR" w:eastAsia="pt-BR"/>
    </w:rPr>
  </w:style>
  <w:style w:type="paragraph" w:styleId="Cabealho1">
    <w:name w:val="heading 1"/>
    <w:basedOn w:val="Ttulo"/>
    <w:qFormat/>
    <w:pPr>
      <w:suppressAutoHyphens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Ttulo"/>
  </w:style>
  <w:style w:type="paragraph" w:customStyle="1" w:styleId="Ttulo2">
    <w:name w:val="Título 2"/>
    <w:basedOn w:val="Ttulo"/>
  </w:style>
  <w:style w:type="paragraph" w:customStyle="1" w:styleId="Ttulo3">
    <w:name w:val="Título 3"/>
    <w:basedOn w:val="Ttulo"/>
  </w:style>
  <w:style w:type="character" w:customStyle="1" w:styleId="LinkdaInternet">
    <w:name w:val="Link da Internet"/>
    <w:uiPriority w:val="99"/>
    <w:unhideWhenUsed/>
    <w:rsid w:val="00BA44B1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widowControl w:val="0"/>
      <w:suppressAutoHyphens/>
    </w:pPr>
    <w:rPr>
      <w:color w:val="00000A"/>
      <w:sz w:val="24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fernanda.peretti</cp:lastModifiedBy>
  <cp:revision>2</cp:revision>
  <cp:lastPrinted>2017-12-15T14:09:00Z</cp:lastPrinted>
  <dcterms:created xsi:type="dcterms:W3CDTF">2017-12-22T11:02:00Z</dcterms:created>
  <dcterms:modified xsi:type="dcterms:W3CDTF">2017-12-22T11:02:00Z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AGU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